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E4" w:rsidRPr="005D23BD" w:rsidRDefault="00DA27E4" w:rsidP="00DA27E4">
      <w:pPr>
        <w:pBdr>
          <w:bottom w:val="single" w:sz="24" w:space="1" w:color="auto"/>
        </w:pBdr>
        <w:spacing w:after="0" w:line="240" w:lineRule="auto"/>
        <w:jc w:val="center"/>
        <w:rPr>
          <w:rFonts w:cstheme="minorHAnsi"/>
          <w:b/>
          <w:sz w:val="56"/>
          <w:szCs w:val="20"/>
        </w:rPr>
      </w:pPr>
      <w:r w:rsidRPr="005D23BD">
        <w:rPr>
          <w:rFonts w:cstheme="minorHAnsi"/>
          <w:b/>
          <w:sz w:val="56"/>
          <w:szCs w:val="20"/>
        </w:rPr>
        <w:t>Accounting for Leases</w:t>
      </w:r>
    </w:p>
    <w:p w:rsidR="00DA27E4" w:rsidRPr="005D23BD" w:rsidRDefault="008B5AE7" w:rsidP="00DA27E4">
      <w:pPr>
        <w:spacing w:after="0" w:line="240" w:lineRule="auto"/>
        <w:rPr>
          <w:rFonts w:cstheme="minorHAnsi"/>
          <w:b/>
          <w:sz w:val="20"/>
          <w:szCs w:val="20"/>
        </w:rPr>
      </w:pPr>
      <w:r w:rsidRPr="005D23BD">
        <w:rPr>
          <w:rFonts w:cstheme="minorHAnsi"/>
          <w:b/>
          <w:sz w:val="20"/>
          <w:szCs w:val="20"/>
        </w:rPr>
        <w:t>Guidance</w:t>
      </w:r>
      <w:r w:rsidR="00DA27E4" w:rsidRPr="005D23BD">
        <w:rPr>
          <w:rFonts w:cstheme="minorHAnsi"/>
          <w:b/>
          <w:sz w:val="20"/>
          <w:szCs w:val="20"/>
        </w:rPr>
        <w:t xml:space="preserve"> Statement </w:t>
      </w:r>
    </w:p>
    <w:p w:rsidR="00DA27E4" w:rsidRPr="005D23BD" w:rsidRDefault="00695FF6" w:rsidP="00695FF6">
      <w:pPr>
        <w:pBdr>
          <w:bottom w:val="single" w:sz="24" w:space="1" w:color="auto"/>
        </w:pBdr>
        <w:spacing w:after="0" w:line="240" w:lineRule="auto"/>
        <w:rPr>
          <w:rFonts w:cstheme="minorHAnsi"/>
          <w:sz w:val="20"/>
          <w:szCs w:val="20"/>
        </w:rPr>
      </w:pPr>
      <w:r w:rsidRPr="005D23BD">
        <w:rPr>
          <w:rFonts w:cstheme="minorHAnsi"/>
          <w:sz w:val="20"/>
          <w:szCs w:val="20"/>
        </w:rPr>
        <w:t xml:space="preserve">Guidance outlines the accounting procedures for the recording and reporting of leases and for the recording of installment purchase contracts. </w:t>
      </w:r>
    </w:p>
    <w:p w:rsidR="00695FF6" w:rsidRPr="005D23BD" w:rsidRDefault="003D603D" w:rsidP="00DA27E4">
      <w:pPr>
        <w:pBdr>
          <w:bottom w:val="single" w:sz="24" w:space="1" w:color="auto"/>
        </w:pBdr>
        <w:spacing w:after="0" w:line="240" w:lineRule="auto"/>
        <w:rPr>
          <w:rFonts w:cstheme="minorHAnsi"/>
          <w:color w:val="FF0000"/>
          <w:sz w:val="20"/>
          <w:szCs w:val="20"/>
        </w:rPr>
      </w:pPr>
      <w:r w:rsidRPr="005D23BD">
        <w:rPr>
          <w:rFonts w:cstheme="minorHAnsi"/>
          <w:b/>
          <w:color w:val="FF0000"/>
          <w:sz w:val="20"/>
          <w:szCs w:val="20"/>
        </w:rPr>
        <w:t xml:space="preserve">Note: </w:t>
      </w:r>
      <w:r w:rsidRPr="005D23BD">
        <w:rPr>
          <w:rFonts w:cstheme="minorHAnsi"/>
          <w:color w:val="FF0000"/>
          <w:sz w:val="20"/>
          <w:szCs w:val="20"/>
        </w:rPr>
        <w:t xml:space="preserve">FASB 13 will be replaced by GASB 87 effective </w:t>
      </w:r>
      <w:r w:rsidR="00830D71" w:rsidRPr="005D23BD">
        <w:rPr>
          <w:rFonts w:cstheme="minorHAnsi"/>
          <w:color w:val="FF0000"/>
          <w:sz w:val="20"/>
          <w:szCs w:val="20"/>
        </w:rPr>
        <w:t xml:space="preserve">7/1/2020 and reflected in Financial Statements for 6/30/2021. </w:t>
      </w:r>
    </w:p>
    <w:p w:rsidR="00830D71" w:rsidRPr="005D23BD" w:rsidRDefault="00830D71" w:rsidP="00DA27E4">
      <w:pPr>
        <w:pBdr>
          <w:bottom w:val="single" w:sz="24" w:space="1" w:color="auto"/>
        </w:pBdr>
        <w:spacing w:after="0" w:line="240" w:lineRule="auto"/>
        <w:rPr>
          <w:rFonts w:cstheme="minorHAnsi"/>
          <w:color w:val="FF0000"/>
          <w:sz w:val="20"/>
          <w:szCs w:val="20"/>
        </w:rPr>
      </w:pPr>
      <w:r w:rsidRPr="005D23BD">
        <w:rPr>
          <w:rFonts w:cstheme="minorHAnsi"/>
          <w:color w:val="FF0000"/>
          <w:sz w:val="20"/>
          <w:szCs w:val="20"/>
        </w:rPr>
        <w:t xml:space="preserve">            The change will establish a single </w:t>
      </w:r>
      <w:r w:rsidR="00BE3A7B">
        <w:rPr>
          <w:rFonts w:cstheme="minorHAnsi"/>
          <w:color w:val="FF0000"/>
          <w:sz w:val="20"/>
          <w:szCs w:val="20"/>
        </w:rPr>
        <w:t xml:space="preserve">model </w:t>
      </w:r>
      <w:r w:rsidRPr="005D23BD">
        <w:rPr>
          <w:rFonts w:cstheme="minorHAnsi"/>
          <w:color w:val="FF0000"/>
          <w:sz w:val="20"/>
          <w:szCs w:val="20"/>
        </w:rPr>
        <w:t xml:space="preserve">for lease accounting. Content in this page is in the process for being </w:t>
      </w:r>
    </w:p>
    <w:p w:rsidR="00830D71" w:rsidRPr="005D23BD" w:rsidRDefault="00BE3A7B" w:rsidP="00DA27E4">
      <w:pPr>
        <w:pBdr>
          <w:bottom w:val="single" w:sz="24" w:space="1" w:color="auto"/>
        </w:pBdr>
        <w:spacing w:after="0" w:line="240" w:lineRule="auto"/>
        <w:rPr>
          <w:rFonts w:cstheme="minorHAnsi"/>
          <w:color w:val="FF0000"/>
          <w:sz w:val="20"/>
          <w:szCs w:val="20"/>
        </w:rPr>
      </w:pPr>
      <w:r>
        <w:rPr>
          <w:rFonts w:cstheme="minorHAnsi"/>
          <w:color w:val="FF0000"/>
          <w:sz w:val="20"/>
          <w:szCs w:val="20"/>
        </w:rPr>
        <w:t xml:space="preserve">            </w:t>
      </w:r>
      <w:proofErr w:type="gramStart"/>
      <w:r>
        <w:rPr>
          <w:rFonts w:cstheme="minorHAnsi"/>
          <w:color w:val="FF0000"/>
          <w:sz w:val="20"/>
          <w:szCs w:val="20"/>
        </w:rPr>
        <w:t>updated</w:t>
      </w:r>
      <w:bookmarkStart w:id="0" w:name="_GoBack"/>
      <w:bookmarkEnd w:id="0"/>
      <w:proofErr w:type="gramEnd"/>
      <w:r w:rsidR="00830D71" w:rsidRPr="005D23BD">
        <w:rPr>
          <w:rFonts w:cstheme="minorHAnsi"/>
          <w:color w:val="FF0000"/>
          <w:sz w:val="20"/>
          <w:szCs w:val="20"/>
        </w:rPr>
        <w:t xml:space="preserve">. </w:t>
      </w:r>
    </w:p>
    <w:p w:rsidR="003D603D" w:rsidRPr="005D23BD" w:rsidRDefault="003D603D" w:rsidP="00DA27E4">
      <w:pPr>
        <w:pBdr>
          <w:bottom w:val="single" w:sz="24" w:space="1" w:color="auto"/>
        </w:pBdr>
        <w:spacing w:after="0" w:line="240" w:lineRule="auto"/>
        <w:rPr>
          <w:rFonts w:cstheme="minorHAnsi"/>
          <w:b/>
          <w:sz w:val="20"/>
          <w:szCs w:val="20"/>
        </w:rPr>
      </w:pPr>
    </w:p>
    <w:p w:rsidR="00DA27E4" w:rsidRPr="005D23BD" w:rsidRDefault="00DA27E4" w:rsidP="00DA27E4">
      <w:pPr>
        <w:spacing w:after="0" w:line="240" w:lineRule="auto"/>
        <w:rPr>
          <w:rFonts w:cstheme="minorHAnsi"/>
          <w:b/>
          <w:sz w:val="20"/>
          <w:szCs w:val="20"/>
        </w:rPr>
      </w:pPr>
      <w:r w:rsidRPr="005D23BD">
        <w:rPr>
          <w:rFonts w:cstheme="minorHAnsi"/>
          <w:b/>
          <w:sz w:val="20"/>
          <w:szCs w:val="20"/>
        </w:rPr>
        <w:t>Definitions</w:t>
      </w:r>
    </w:p>
    <w:p w:rsidR="00DA27E4" w:rsidRPr="005D23BD" w:rsidRDefault="009B6E25" w:rsidP="009B6E25">
      <w:pPr>
        <w:pBdr>
          <w:bottom w:val="single" w:sz="24" w:space="1" w:color="auto"/>
        </w:pBdr>
        <w:spacing w:after="0" w:line="240" w:lineRule="auto"/>
        <w:rPr>
          <w:rFonts w:cstheme="minorHAnsi"/>
          <w:sz w:val="20"/>
          <w:szCs w:val="20"/>
        </w:rPr>
      </w:pPr>
      <w:r w:rsidRPr="005D23BD">
        <w:rPr>
          <w:rFonts w:cstheme="minorHAnsi"/>
          <w:i/>
          <w:sz w:val="20"/>
          <w:szCs w:val="20"/>
        </w:rPr>
        <w:t>Capital Lease:</w:t>
      </w:r>
      <w:r w:rsidRPr="005D23BD">
        <w:rPr>
          <w:rFonts w:cstheme="minorHAnsi"/>
          <w:sz w:val="20"/>
          <w:szCs w:val="20"/>
        </w:rPr>
        <w:t xml:space="preserve"> All leases meeting the capital lease criteria must be capitalized.</w:t>
      </w:r>
    </w:p>
    <w:p w:rsidR="009B6E25" w:rsidRPr="005D23BD" w:rsidRDefault="009B6E25" w:rsidP="009B6E25">
      <w:pPr>
        <w:pBdr>
          <w:bottom w:val="single" w:sz="24" w:space="1" w:color="auto"/>
        </w:pBdr>
        <w:spacing w:after="0" w:line="240" w:lineRule="auto"/>
        <w:rPr>
          <w:rFonts w:cstheme="minorHAnsi"/>
          <w:sz w:val="20"/>
          <w:szCs w:val="20"/>
        </w:rPr>
      </w:pPr>
      <w:r w:rsidRPr="005D23BD">
        <w:rPr>
          <w:rFonts w:cstheme="minorHAnsi"/>
          <w:i/>
          <w:sz w:val="20"/>
          <w:szCs w:val="20"/>
        </w:rPr>
        <w:t>Operating Lease:</w:t>
      </w:r>
      <w:r w:rsidRPr="005D23BD">
        <w:rPr>
          <w:rFonts w:cstheme="minorHAnsi"/>
          <w:sz w:val="20"/>
          <w:szCs w:val="20"/>
        </w:rPr>
        <w:t xml:space="preserve"> Any lease not meeting the capital lease criteria is considered to be an operating lease.</w:t>
      </w:r>
    </w:p>
    <w:p w:rsidR="00695FF6" w:rsidRPr="005D23BD" w:rsidRDefault="00695FF6" w:rsidP="00DA27E4">
      <w:pPr>
        <w:pBdr>
          <w:bottom w:val="single" w:sz="24" w:space="1" w:color="auto"/>
        </w:pBdr>
        <w:spacing w:after="0" w:line="240" w:lineRule="auto"/>
        <w:rPr>
          <w:rFonts w:cstheme="minorHAnsi"/>
          <w:b/>
          <w:sz w:val="20"/>
          <w:szCs w:val="20"/>
        </w:rPr>
      </w:pPr>
    </w:p>
    <w:p w:rsidR="00DA27E4" w:rsidRPr="005D23BD" w:rsidRDefault="00FC6B15" w:rsidP="00DA27E4">
      <w:pPr>
        <w:spacing w:after="0" w:line="240" w:lineRule="auto"/>
        <w:rPr>
          <w:rFonts w:cstheme="minorHAnsi"/>
          <w:b/>
          <w:sz w:val="20"/>
          <w:szCs w:val="20"/>
        </w:rPr>
      </w:pPr>
      <w:r w:rsidRPr="005D23BD">
        <w:rPr>
          <w:rFonts w:cstheme="minorHAnsi"/>
          <w:b/>
          <w:sz w:val="20"/>
          <w:szCs w:val="20"/>
        </w:rPr>
        <w:t xml:space="preserve">Overview: </w:t>
      </w:r>
    </w:p>
    <w:p w:rsidR="00FC6B15" w:rsidRPr="005D23BD" w:rsidRDefault="006B455F" w:rsidP="00720F37">
      <w:pPr>
        <w:pStyle w:val="ListParagraph"/>
        <w:numPr>
          <w:ilvl w:val="0"/>
          <w:numId w:val="4"/>
        </w:numPr>
        <w:spacing w:after="0" w:line="240" w:lineRule="auto"/>
        <w:rPr>
          <w:rFonts w:cstheme="minorHAnsi"/>
          <w:sz w:val="20"/>
          <w:szCs w:val="20"/>
        </w:rPr>
      </w:pPr>
      <w:r w:rsidRPr="005D23BD">
        <w:rPr>
          <w:rFonts w:cstheme="minorHAnsi"/>
          <w:i/>
          <w:sz w:val="20"/>
          <w:szCs w:val="20"/>
        </w:rPr>
        <w:t>The UC Davis Real Estate Services</w:t>
      </w:r>
      <w:r w:rsidRPr="005D23BD">
        <w:rPr>
          <w:rFonts w:cstheme="minorHAnsi"/>
          <w:sz w:val="20"/>
          <w:szCs w:val="20"/>
        </w:rPr>
        <w:t xml:space="preserve"> leasing team is responsible for transactions that involve use of University and Non-University property by either internal departments or external entities.   Working closely with Capital and Space Planning, the leasing team at Real Estate Services also assists departments with moving into new spaces.</w:t>
      </w:r>
      <w:r w:rsidR="00720F37" w:rsidRPr="005D23BD">
        <w:rPr>
          <w:rFonts w:cstheme="minorHAnsi"/>
          <w:sz w:val="20"/>
          <w:szCs w:val="20"/>
        </w:rPr>
        <w:t xml:space="preserve"> Refer to Real Estate Services webpage at </w:t>
      </w:r>
      <w:hyperlink r:id="rId5" w:history="1">
        <w:r w:rsidR="00720F37" w:rsidRPr="005D23BD">
          <w:rPr>
            <w:rStyle w:val="Hyperlink"/>
            <w:rFonts w:cstheme="minorHAnsi"/>
            <w:sz w:val="20"/>
            <w:szCs w:val="20"/>
          </w:rPr>
          <w:t>https://realestateservices.ucdavis.edu/leasing</w:t>
        </w:r>
      </w:hyperlink>
      <w:r w:rsidR="00720F37" w:rsidRPr="005D23BD">
        <w:rPr>
          <w:rFonts w:cstheme="minorHAnsi"/>
          <w:sz w:val="20"/>
          <w:szCs w:val="20"/>
        </w:rPr>
        <w:t xml:space="preserve"> for further details.</w:t>
      </w:r>
    </w:p>
    <w:p w:rsidR="00FC6B15" w:rsidRPr="005D23BD" w:rsidRDefault="0040662D" w:rsidP="0040662D">
      <w:pPr>
        <w:pStyle w:val="ListParagraph"/>
        <w:numPr>
          <w:ilvl w:val="0"/>
          <w:numId w:val="4"/>
        </w:numPr>
        <w:spacing w:after="0" w:line="240" w:lineRule="auto"/>
        <w:rPr>
          <w:rFonts w:cstheme="minorHAnsi"/>
          <w:sz w:val="20"/>
          <w:szCs w:val="20"/>
        </w:rPr>
      </w:pPr>
      <w:r w:rsidRPr="005D23BD">
        <w:rPr>
          <w:rFonts w:cstheme="minorHAnsi"/>
          <w:i/>
          <w:sz w:val="20"/>
          <w:szCs w:val="20"/>
        </w:rPr>
        <w:t xml:space="preserve">Capital Asset Accounting- </w:t>
      </w:r>
      <w:r w:rsidRPr="005D23BD">
        <w:rPr>
          <w:rFonts w:cstheme="minorHAnsi"/>
          <w:sz w:val="20"/>
          <w:szCs w:val="20"/>
        </w:rPr>
        <w:t>reviews the purchase order documents and confirms it meets the requirements to be accounted for as a capital lease.  CAA coordinates with Equipment Management to establish the asset record.  CAA processes the payment request documents in KFS to ensure proper classification.</w:t>
      </w:r>
    </w:p>
    <w:p w:rsidR="00452CCF" w:rsidRPr="005D23BD" w:rsidRDefault="00452CCF" w:rsidP="00452CCF">
      <w:pPr>
        <w:pStyle w:val="ListParagraph"/>
        <w:spacing w:after="0" w:line="240" w:lineRule="auto"/>
        <w:ind w:left="360"/>
        <w:rPr>
          <w:rFonts w:cstheme="minorHAnsi"/>
          <w:sz w:val="20"/>
          <w:szCs w:val="20"/>
        </w:rPr>
      </w:pPr>
    </w:p>
    <w:p w:rsidR="006B455F" w:rsidRPr="005D23BD" w:rsidRDefault="00FC6B15" w:rsidP="00FC6B15">
      <w:pPr>
        <w:spacing w:after="0" w:line="240" w:lineRule="auto"/>
        <w:rPr>
          <w:rFonts w:cstheme="minorHAnsi"/>
          <w:b/>
          <w:sz w:val="20"/>
          <w:szCs w:val="20"/>
        </w:rPr>
      </w:pPr>
      <w:r w:rsidRPr="005D23BD">
        <w:rPr>
          <w:rFonts w:cstheme="minorHAnsi"/>
          <w:b/>
          <w:sz w:val="20"/>
          <w:szCs w:val="20"/>
        </w:rPr>
        <w:t xml:space="preserve">Procedures: </w:t>
      </w:r>
      <w:r w:rsidR="00720F37" w:rsidRPr="005D23BD">
        <w:rPr>
          <w:rFonts w:cstheme="minorHAnsi"/>
          <w:b/>
          <w:sz w:val="20"/>
          <w:szCs w:val="20"/>
        </w:rPr>
        <w:t xml:space="preserve"> </w:t>
      </w:r>
    </w:p>
    <w:p w:rsidR="00DA27E4" w:rsidRPr="005D23BD" w:rsidRDefault="0077012A" w:rsidP="00695FF6">
      <w:pPr>
        <w:pStyle w:val="ListParagraph"/>
        <w:numPr>
          <w:ilvl w:val="0"/>
          <w:numId w:val="4"/>
        </w:numPr>
        <w:spacing w:after="0" w:line="240" w:lineRule="auto"/>
        <w:rPr>
          <w:rFonts w:cstheme="minorHAnsi"/>
          <w:sz w:val="20"/>
          <w:szCs w:val="20"/>
        </w:rPr>
      </w:pPr>
      <w:r w:rsidRPr="005D23BD">
        <w:rPr>
          <w:rFonts w:cstheme="minorHAnsi"/>
          <w:sz w:val="20"/>
          <w:szCs w:val="20"/>
        </w:rPr>
        <w:t xml:space="preserve">Process lease agreement through diagram to determine if elements of capital lease are met: </w:t>
      </w:r>
    </w:p>
    <w:p w:rsidR="000408EA" w:rsidRPr="005D23BD" w:rsidRDefault="000408EA" w:rsidP="000408EA">
      <w:pPr>
        <w:rPr>
          <w:rFonts w:cstheme="minorHAnsi"/>
          <w:sz w:val="20"/>
          <w:szCs w:val="20"/>
        </w:rPr>
      </w:pPr>
      <w:r w:rsidRPr="005D23BD">
        <w:rPr>
          <w:rFonts w:cstheme="minorHAnsi"/>
          <w:noProof/>
          <w:sz w:val="20"/>
          <w:szCs w:val="20"/>
        </w:rPr>
        <w:drawing>
          <wp:inline distT="0" distB="0" distL="0" distR="0" wp14:anchorId="4B381CE1" wp14:editId="42B8B470">
            <wp:extent cx="4981575" cy="4045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2259" cy="4095219"/>
                    </a:xfrm>
                    <a:prstGeom prst="rect">
                      <a:avLst/>
                    </a:prstGeom>
                  </pic:spPr>
                </pic:pic>
              </a:graphicData>
            </a:graphic>
          </wp:inline>
        </w:drawing>
      </w:r>
    </w:p>
    <w:p w:rsidR="000408EA" w:rsidRPr="005D23BD" w:rsidRDefault="000408EA" w:rsidP="000408EA">
      <w:pPr>
        <w:rPr>
          <w:rFonts w:cstheme="minorHAnsi"/>
          <w:sz w:val="20"/>
          <w:szCs w:val="20"/>
        </w:rPr>
      </w:pPr>
      <w:r w:rsidRPr="005D23BD">
        <w:rPr>
          <w:rFonts w:cstheme="minorHAnsi"/>
          <w:noProof/>
          <w:sz w:val="20"/>
          <w:szCs w:val="20"/>
        </w:rPr>
        <w:lastRenderedPageBreak/>
        <w:drawing>
          <wp:inline distT="0" distB="0" distL="0" distR="0" wp14:anchorId="42EEF837" wp14:editId="64B5336A">
            <wp:extent cx="4876800" cy="3151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90476" cy="3160000"/>
                    </a:xfrm>
                    <a:prstGeom prst="rect">
                      <a:avLst/>
                    </a:prstGeom>
                  </pic:spPr>
                </pic:pic>
              </a:graphicData>
            </a:graphic>
          </wp:inline>
        </w:drawing>
      </w:r>
    </w:p>
    <w:p w:rsidR="000408EA" w:rsidRPr="005D23BD" w:rsidRDefault="000408EA" w:rsidP="00A3772D">
      <w:pPr>
        <w:ind w:left="720"/>
        <w:rPr>
          <w:rFonts w:cstheme="minorHAnsi"/>
          <w:sz w:val="20"/>
          <w:szCs w:val="20"/>
        </w:rPr>
      </w:pPr>
      <w:r w:rsidRPr="005D23BD">
        <w:rPr>
          <w:rFonts w:cstheme="minorHAnsi"/>
          <w:noProof/>
          <w:sz w:val="20"/>
          <w:szCs w:val="20"/>
        </w:rPr>
        <w:drawing>
          <wp:inline distT="0" distB="0" distL="0" distR="0" wp14:anchorId="168256C2" wp14:editId="2146FD83">
            <wp:extent cx="4226903" cy="2143125"/>
            <wp:effectExtent l="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4235363" cy="2147414"/>
                    </a:xfrm>
                    <a:prstGeom prst="rect">
                      <a:avLst/>
                    </a:prstGeom>
                  </pic:spPr>
                </pic:pic>
              </a:graphicData>
            </a:graphic>
          </wp:inline>
        </w:drawing>
      </w:r>
    </w:p>
    <w:p w:rsidR="000408EA" w:rsidRPr="005D23BD" w:rsidRDefault="000408EA" w:rsidP="000408EA">
      <w:pPr>
        <w:spacing w:after="0" w:line="240" w:lineRule="auto"/>
        <w:rPr>
          <w:rFonts w:cstheme="minorHAnsi"/>
          <w:sz w:val="20"/>
          <w:szCs w:val="20"/>
        </w:rPr>
      </w:pPr>
      <w:r w:rsidRPr="005D23BD">
        <w:rPr>
          <w:rFonts w:cstheme="minorHAnsi"/>
          <w:noProof/>
          <w:sz w:val="20"/>
          <w:szCs w:val="20"/>
        </w:rPr>
        <w:drawing>
          <wp:inline distT="0" distB="0" distL="0" distR="0" wp14:anchorId="58B22EBB" wp14:editId="46B7AE93">
            <wp:extent cx="1600200" cy="67827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6236" cy="685071"/>
                    </a:xfrm>
                    <a:prstGeom prst="rect">
                      <a:avLst/>
                    </a:prstGeom>
                  </pic:spPr>
                </pic:pic>
              </a:graphicData>
            </a:graphic>
          </wp:inline>
        </w:drawing>
      </w:r>
    </w:p>
    <w:p w:rsidR="000408EA" w:rsidRPr="005D23BD" w:rsidRDefault="00A3772D" w:rsidP="000408EA">
      <w:pPr>
        <w:pStyle w:val="ListParagraph"/>
        <w:numPr>
          <w:ilvl w:val="0"/>
          <w:numId w:val="4"/>
        </w:numPr>
        <w:spacing w:after="0" w:line="240" w:lineRule="auto"/>
        <w:rPr>
          <w:rFonts w:cstheme="minorHAnsi"/>
          <w:sz w:val="20"/>
          <w:szCs w:val="20"/>
        </w:rPr>
      </w:pPr>
      <w:r w:rsidRPr="005D23BD">
        <w:rPr>
          <w:rFonts w:cstheme="minorHAnsi"/>
          <w:sz w:val="20"/>
          <w:szCs w:val="20"/>
        </w:rPr>
        <w:t xml:space="preserve">Recording of lease activity using the appropriate object code: </w:t>
      </w:r>
    </w:p>
    <w:p w:rsidR="00385982" w:rsidRPr="005D23BD" w:rsidRDefault="00385982" w:rsidP="00385982">
      <w:pPr>
        <w:pStyle w:val="ListParagraph"/>
        <w:numPr>
          <w:ilvl w:val="0"/>
          <w:numId w:val="3"/>
        </w:numPr>
        <w:autoSpaceDE w:val="0"/>
        <w:autoSpaceDN w:val="0"/>
        <w:adjustRightInd w:val="0"/>
        <w:spacing w:after="0" w:line="240" w:lineRule="auto"/>
        <w:rPr>
          <w:rFonts w:cstheme="minorHAnsi"/>
          <w:sz w:val="20"/>
          <w:szCs w:val="20"/>
        </w:rPr>
      </w:pPr>
      <w:r w:rsidRPr="005D23BD">
        <w:rPr>
          <w:rFonts w:cstheme="minorHAnsi"/>
          <w:sz w:val="20"/>
          <w:szCs w:val="20"/>
        </w:rPr>
        <w:t>Capital Lease</w:t>
      </w:r>
    </w:p>
    <w:tbl>
      <w:tblPr>
        <w:tblW w:w="62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772"/>
      </w:tblGrid>
      <w:tr w:rsidR="00385982" w:rsidRPr="005D23BD" w:rsidTr="00BF5931">
        <w:trPr>
          <w:trHeight w:val="255"/>
        </w:trPr>
        <w:tc>
          <w:tcPr>
            <w:tcW w:w="2448"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Moveable equipment</w:t>
            </w:r>
          </w:p>
        </w:tc>
        <w:tc>
          <w:tcPr>
            <w:tcW w:w="3772"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5330 (principal) / 5331 (interest)</w:t>
            </w:r>
          </w:p>
        </w:tc>
      </w:tr>
      <w:tr w:rsidR="00385982" w:rsidRPr="005D23BD" w:rsidTr="00BF5931">
        <w:trPr>
          <w:trHeight w:val="255"/>
        </w:trPr>
        <w:tc>
          <w:tcPr>
            <w:tcW w:w="2448"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Nonmoveable</w:t>
            </w:r>
            <w:proofErr w:type="spellEnd"/>
            <w:r w:rsidRPr="005D23BD">
              <w:rPr>
                <w:rFonts w:eastAsia="Times New Roman" w:cstheme="minorHAnsi"/>
                <w:color w:val="000000"/>
                <w:sz w:val="20"/>
                <w:szCs w:val="20"/>
              </w:rPr>
              <w:t xml:space="preserve"> equipment</w:t>
            </w:r>
          </w:p>
        </w:tc>
        <w:tc>
          <w:tcPr>
            <w:tcW w:w="3772"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5130 (principal) / 5131 (interest)</w:t>
            </w:r>
          </w:p>
        </w:tc>
      </w:tr>
      <w:tr w:rsidR="00385982" w:rsidRPr="005D23BD" w:rsidTr="00BF5931">
        <w:trPr>
          <w:trHeight w:val="255"/>
        </w:trPr>
        <w:tc>
          <w:tcPr>
            <w:tcW w:w="2448"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Noncapital expense</w:t>
            </w:r>
          </w:p>
        </w:tc>
        <w:tc>
          <w:tcPr>
            <w:tcW w:w="3772" w:type="dxa"/>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5601 (principal) / 5602 (interest)</w:t>
            </w:r>
          </w:p>
        </w:tc>
      </w:tr>
    </w:tbl>
    <w:p w:rsidR="00385982" w:rsidRPr="005D23BD" w:rsidRDefault="00385982" w:rsidP="00385982">
      <w:pPr>
        <w:pStyle w:val="ListParagraph"/>
        <w:numPr>
          <w:ilvl w:val="0"/>
          <w:numId w:val="3"/>
        </w:numPr>
        <w:autoSpaceDE w:val="0"/>
        <w:autoSpaceDN w:val="0"/>
        <w:adjustRightInd w:val="0"/>
        <w:spacing w:after="0" w:line="240" w:lineRule="auto"/>
        <w:rPr>
          <w:rFonts w:cstheme="minorHAnsi"/>
          <w:sz w:val="20"/>
          <w:szCs w:val="20"/>
        </w:rPr>
      </w:pPr>
      <w:r w:rsidRPr="005D23BD">
        <w:rPr>
          <w:rFonts w:cstheme="minorHAnsi"/>
          <w:sz w:val="20"/>
          <w:szCs w:val="20"/>
        </w:rPr>
        <w:t>Operating Lease</w:t>
      </w:r>
    </w:p>
    <w:tbl>
      <w:tblPr>
        <w:tblW w:w="4698" w:type="dxa"/>
        <w:tblInd w:w="1327" w:type="dxa"/>
        <w:tblLook w:val="04A0" w:firstRow="1" w:lastRow="0" w:firstColumn="1" w:lastColumn="0" w:noHBand="0" w:noVBand="1"/>
      </w:tblPr>
      <w:tblGrid>
        <w:gridCol w:w="3618"/>
        <w:gridCol w:w="1080"/>
      </w:tblGrid>
      <w:tr w:rsidR="00385982" w:rsidRPr="005D23BD" w:rsidTr="00BF5931">
        <w:trPr>
          <w:trHeight w:val="255"/>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Rental of equipment, 1 year or less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5300</w:t>
            </w:r>
          </w:p>
        </w:tc>
      </w:tr>
      <w:tr w:rsidR="00385982" w:rsidRPr="005D23BD" w:rsidTr="00BF5931">
        <w:trPr>
          <w:trHeight w:val="255"/>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Rental of equipment, more than 1 year</w:t>
            </w:r>
          </w:p>
        </w:tc>
        <w:tc>
          <w:tcPr>
            <w:tcW w:w="1080" w:type="dxa"/>
            <w:tcBorders>
              <w:top w:val="nil"/>
              <w:left w:val="nil"/>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5321</w:t>
            </w:r>
          </w:p>
        </w:tc>
      </w:tr>
      <w:tr w:rsidR="00385982" w:rsidRPr="005D23BD" w:rsidTr="00BF5931">
        <w:trPr>
          <w:trHeight w:val="255"/>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Rental of space, 1 year or less</w:t>
            </w:r>
          </w:p>
        </w:tc>
        <w:tc>
          <w:tcPr>
            <w:tcW w:w="1080" w:type="dxa"/>
            <w:tcBorders>
              <w:top w:val="nil"/>
              <w:left w:val="nil"/>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5100</w:t>
            </w:r>
          </w:p>
        </w:tc>
      </w:tr>
      <w:tr w:rsidR="00385982" w:rsidRPr="005D23BD" w:rsidTr="00BF5931">
        <w:trPr>
          <w:trHeight w:val="255"/>
        </w:trPr>
        <w:tc>
          <w:tcPr>
            <w:tcW w:w="3618" w:type="dxa"/>
            <w:tcBorders>
              <w:top w:val="nil"/>
              <w:left w:val="single" w:sz="4" w:space="0" w:color="auto"/>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r w:rsidRPr="005D23BD">
              <w:rPr>
                <w:rFonts w:eastAsia="Times New Roman" w:cstheme="minorHAnsi"/>
                <w:color w:val="000000"/>
                <w:sz w:val="20"/>
                <w:szCs w:val="20"/>
              </w:rPr>
              <w:t>Rental of space, more than 1 year</w:t>
            </w:r>
          </w:p>
        </w:tc>
        <w:tc>
          <w:tcPr>
            <w:tcW w:w="1080" w:type="dxa"/>
            <w:tcBorders>
              <w:top w:val="nil"/>
              <w:left w:val="nil"/>
              <w:bottom w:val="single" w:sz="4" w:space="0" w:color="auto"/>
              <w:right w:val="single" w:sz="4" w:space="0" w:color="auto"/>
            </w:tcBorders>
            <w:shd w:val="clear" w:color="auto" w:fill="auto"/>
            <w:noWrap/>
            <w:vAlign w:val="bottom"/>
            <w:hideMark/>
          </w:tcPr>
          <w:p w:rsidR="00385982" w:rsidRPr="005D23BD" w:rsidRDefault="00385982" w:rsidP="00BF5931">
            <w:pPr>
              <w:spacing w:after="0" w:line="240" w:lineRule="auto"/>
              <w:rPr>
                <w:rFonts w:eastAsia="Times New Roman" w:cstheme="minorHAnsi"/>
                <w:color w:val="000000"/>
                <w:sz w:val="20"/>
                <w:szCs w:val="20"/>
              </w:rPr>
            </w:pPr>
            <w:proofErr w:type="spellStart"/>
            <w:r w:rsidRPr="005D23BD">
              <w:rPr>
                <w:rFonts w:eastAsia="Times New Roman" w:cstheme="minorHAnsi"/>
                <w:color w:val="000000"/>
                <w:sz w:val="20"/>
                <w:szCs w:val="20"/>
              </w:rPr>
              <w:t>Obj</w:t>
            </w:r>
            <w:proofErr w:type="spellEnd"/>
            <w:r w:rsidRPr="005D23BD">
              <w:rPr>
                <w:rFonts w:eastAsia="Times New Roman" w:cstheme="minorHAnsi"/>
                <w:color w:val="000000"/>
                <w:sz w:val="20"/>
                <w:szCs w:val="20"/>
              </w:rPr>
              <w:t xml:space="preserve"> 5121</w:t>
            </w:r>
          </w:p>
        </w:tc>
      </w:tr>
    </w:tbl>
    <w:p w:rsidR="00815E33" w:rsidRPr="005D23BD" w:rsidRDefault="00815E33" w:rsidP="00815E33">
      <w:pPr>
        <w:pStyle w:val="ListParagraph"/>
        <w:rPr>
          <w:rFonts w:cstheme="minorHAnsi"/>
          <w:sz w:val="20"/>
          <w:szCs w:val="20"/>
        </w:rPr>
      </w:pPr>
    </w:p>
    <w:p w:rsidR="009E1EA9" w:rsidRPr="005D23BD" w:rsidRDefault="009E1EA9" w:rsidP="009E1EA9">
      <w:pPr>
        <w:pBdr>
          <w:bottom w:val="single" w:sz="24" w:space="1" w:color="auto"/>
        </w:pBdr>
        <w:spacing w:after="0" w:line="240" w:lineRule="auto"/>
        <w:rPr>
          <w:rFonts w:cstheme="minorHAnsi"/>
          <w:b/>
          <w:sz w:val="20"/>
          <w:szCs w:val="20"/>
        </w:rPr>
      </w:pPr>
    </w:p>
    <w:p w:rsidR="009E1EA9" w:rsidRPr="005D23BD" w:rsidRDefault="009E1EA9" w:rsidP="009E1EA9">
      <w:pPr>
        <w:spacing w:after="0" w:line="240" w:lineRule="auto"/>
        <w:rPr>
          <w:rFonts w:cstheme="minorHAnsi"/>
          <w:b/>
          <w:sz w:val="20"/>
          <w:szCs w:val="20"/>
        </w:rPr>
      </w:pPr>
      <w:r w:rsidRPr="005D23BD">
        <w:rPr>
          <w:rFonts w:cstheme="minorHAnsi"/>
          <w:b/>
          <w:sz w:val="20"/>
          <w:szCs w:val="20"/>
        </w:rPr>
        <w:t>References/Link</w:t>
      </w:r>
    </w:p>
    <w:p w:rsidR="009E1EA9" w:rsidRPr="005D23BD" w:rsidRDefault="009E1EA9" w:rsidP="009E1EA9">
      <w:pPr>
        <w:spacing w:after="0" w:line="240" w:lineRule="auto"/>
        <w:rPr>
          <w:rFonts w:cstheme="minorHAnsi"/>
          <w:i/>
          <w:sz w:val="20"/>
          <w:szCs w:val="20"/>
        </w:rPr>
      </w:pPr>
    </w:p>
    <w:p w:rsidR="009E1EA9" w:rsidRPr="005D23BD" w:rsidRDefault="009E1EA9" w:rsidP="009E1EA9">
      <w:pPr>
        <w:spacing w:after="0" w:line="240" w:lineRule="auto"/>
        <w:rPr>
          <w:rFonts w:cstheme="minorHAnsi"/>
          <w:sz w:val="20"/>
          <w:szCs w:val="20"/>
        </w:rPr>
      </w:pPr>
      <w:r w:rsidRPr="005D23BD">
        <w:rPr>
          <w:rFonts w:cstheme="minorHAnsi"/>
          <w:i/>
          <w:sz w:val="20"/>
          <w:szCs w:val="20"/>
        </w:rPr>
        <w:t>Governmental/Accounting Standards Board Statements:</w:t>
      </w:r>
      <w:r w:rsidRPr="005D23BD">
        <w:rPr>
          <w:rFonts w:cstheme="minorHAnsi"/>
          <w:sz w:val="20"/>
          <w:szCs w:val="20"/>
        </w:rPr>
        <w:t xml:space="preserve"> </w:t>
      </w:r>
    </w:p>
    <w:p w:rsidR="009E1EA9" w:rsidRPr="005D23BD" w:rsidRDefault="009E1EA9" w:rsidP="0056300E">
      <w:pPr>
        <w:pStyle w:val="ListParagraph"/>
        <w:numPr>
          <w:ilvl w:val="0"/>
          <w:numId w:val="3"/>
        </w:numPr>
        <w:spacing w:after="0" w:line="240" w:lineRule="auto"/>
        <w:rPr>
          <w:rFonts w:cstheme="minorHAnsi"/>
          <w:sz w:val="20"/>
          <w:szCs w:val="20"/>
        </w:rPr>
      </w:pPr>
      <w:r w:rsidRPr="005D23BD">
        <w:rPr>
          <w:rFonts w:cstheme="minorHAnsi"/>
          <w:sz w:val="20"/>
          <w:szCs w:val="20"/>
        </w:rPr>
        <w:t>Financial Accounting Standards Board (FASB) Statement No. 13, Accounting for Leases</w:t>
      </w:r>
    </w:p>
    <w:p w:rsidR="009E1EA9" w:rsidRPr="005D23BD" w:rsidRDefault="009E1EA9" w:rsidP="009E1EA9">
      <w:pPr>
        <w:spacing w:after="0" w:line="240" w:lineRule="auto"/>
        <w:rPr>
          <w:rFonts w:cstheme="minorHAnsi"/>
          <w:sz w:val="20"/>
          <w:szCs w:val="20"/>
        </w:rPr>
      </w:pPr>
    </w:p>
    <w:p w:rsidR="009E1EA9" w:rsidRPr="005D23BD" w:rsidRDefault="009E1EA9" w:rsidP="009E1EA9">
      <w:pPr>
        <w:spacing w:after="0" w:line="240" w:lineRule="auto"/>
        <w:rPr>
          <w:rFonts w:cstheme="minorHAnsi"/>
          <w:i/>
          <w:sz w:val="20"/>
          <w:szCs w:val="20"/>
        </w:rPr>
      </w:pPr>
      <w:r w:rsidRPr="005D23BD">
        <w:rPr>
          <w:rFonts w:cstheme="minorHAnsi"/>
          <w:i/>
          <w:sz w:val="20"/>
          <w:szCs w:val="20"/>
        </w:rPr>
        <w:t>UCOP Policy</w:t>
      </w:r>
    </w:p>
    <w:p w:rsidR="009E1EA9" w:rsidRPr="005D23BD" w:rsidRDefault="009E1EA9" w:rsidP="009E1EA9">
      <w:pPr>
        <w:pStyle w:val="ListParagraph"/>
        <w:numPr>
          <w:ilvl w:val="0"/>
          <w:numId w:val="3"/>
        </w:numPr>
        <w:spacing w:after="0" w:line="240" w:lineRule="auto"/>
        <w:rPr>
          <w:rFonts w:cstheme="minorHAnsi"/>
          <w:sz w:val="20"/>
          <w:szCs w:val="20"/>
        </w:rPr>
      </w:pPr>
      <w:r w:rsidRPr="005D23BD">
        <w:rPr>
          <w:rFonts w:cstheme="minorHAnsi"/>
          <w:sz w:val="20"/>
          <w:szCs w:val="20"/>
        </w:rPr>
        <w:t>AM-L217-11- Accounting and Reporting for Leases and Installment Purchases Contracts</w:t>
      </w:r>
    </w:p>
    <w:p w:rsidR="005648C0" w:rsidRPr="0088474E" w:rsidRDefault="005648C0" w:rsidP="0088474E">
      <w:pPr>
        <w:spacing w:after="0" w:line="240" w:lineRule="auto"/>
        <w:rPr>
          <w:rFonts w:cstheme="minorHAnsi"/>
          <w:sz w:val="20"/>
          <w:szCs w:val="20"/>
        </w:rPr>
      </w:pPr>
    </w:p>
    <w:sectPr w:rsidR="005648C0" w:rsidRPr="00884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EAA"/>
    <w:multiLevelType w:val="hybridMultilevel"/>
    <w:tmpl w:val="35A42480"/>
    <w:lvl w:ilvl="0" w:tplc="DAEC115C">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FF0574"/>
    <w:multiLevelType w:val="hybridMultilevel"/>
    <w:tmpl w:val="CD9EC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52B63"/>
    <w:multiLevelType w:val="hybridMultilevel"/>
    <w:tmpl w:val="D4FA3B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C43EBE"/>
    <w:multiLevelType w:val="hybridMultilevel"/>
    <w:tmpl w:val="45146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F2D60"/>
    <w:multiLevelType w:val="hybridMultilevel"/>
    <w:tmpl w:val="F27E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274"/>
    <w:multiLevelType w:val="hybridMultilevel"/>
    <w:tmpl w:val="5578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6F"/>
    <w:rsid w:val="00001C4B"/>
    <w:rsid w:val="000408EA"/>
    <w:rsid w:val="0024521F"/>
    <w:rsid w:val="00385982"/>
    <w:rsid w:val="00390040"/>
    <w:rsid w:val="003D603D"/>
    <w:rsid w:val="0040662D"/>
    <w:rsid w:val="00452CCF"/>
    <w:rsid w:val="00535957"/>
    <w:rsid w:val="0055626F"/>
    <w:rsid w:val="005648C0"/>
    <w:rsid w:val="00593EF4"/>
    <w:rsid w:val="005D23BD"/>
    <w:rsid w:val="00677A51"/>
    <w:rsid w:val="00695FF6"/>
    <w:rsid w:val="006B455F"/>
    <w:rsid w:val="00720F37"/>
    <w:rsid w:val="00723D13"/>
    <w:rsid w:val="00734486"/>
    <w:rsid w:val="0077012A"/>
    <w:rsid w:val="00815E33"/>
    <w:rsid w:val="00820CB3"/>
    <w:rsid w:val="00830D71"/>
    <w:rsid w:val="00833FAE"/>
    <w:rsid w:val="0088474E"/>
    <w:rsid w:val="008B5AE7"/>
    <w:rsid w:val="00986D40"/>
    <w:rsid w:val="009B6E25"/>
    <w:rsid w:val="009E1EA9"/>
    <w:rsid w:val="00A3772D"/>
    <w:rsid w:val="00B10837"/>
    <w:rsid w:val="00BA3781"/>
    <w:rsid w:val="00BE3A7B"/>
    <w:rsid w:val="00DA27E4"/>
    <w:rsid w:val="00F60B47"/>
    <w:rsid w:val="00FC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2B54A-5A4D-471D-B872-E40C916B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B47"/>
    <w:pPr>
      <w:ind w:left="720"/>
      <w:contextualSpacing/>
    </w:pPr>
  </w:style>
  <w:style w:type="character" w:styleId="CommentReference">
    <w:name w:val="annotation reference"/>
    <w:basedOn w:val="DefaultParagraphFont"/>
    <w:uiPriority w:val="99"/>
    <w:semiHidden/>
    <w:unhideWhenUsed/>
    <w:rsid w:val="00DA27E4"/>
    <w:rPr>
      <w:sz w:val="16"/>
      <w:szCs w:val="16"/>
    </w:rPr>
  </w:style>
  <w:style w:type="paragraph" w:styleId="CommentText">
    <w:name w:val="annotation text"/>
    <w:basedOn w:val="Normal"/>
    <w:link w:val="CommentTextChar"/>
    <w:uiPriority w:val="99"/>
    <w:semiHidden/>
    <w:unhideWhenUsed/>
    <w:rsid w:val="00DA27E4"/>
    <w:pPr>
      <w:spacing w:line="240" w:lineRule="auto"/>
    </w:pPr>
    <w:rPr>
      <w:sz w:val="20"/>
      <w:szCs w:val="20"/>
    </w:rPr>
  </w:style>
  <w:style w:type="character" w:customStyle="1" w:styleId="CommentTextChar">
    <w:name w:val="Comment Text Char"/>
    <w:basedOn w:val="DefaultParagraphFont"/>
    <w:link w:val="CommentText"/>
    <w:uiPriority w:val="99"/>
    <w:semiHidden/>
    <w:rsid w:val="00DA27E4"/>
    <w:rPr>
      <w:sz w:val="20"/>
      <w:szCs w:val="20"/>
    </w:rPr>
  </w:style>
  <w:style w:type="character" w:styleId="Hyperlink">
    <w:name w:val="Hyperlink"/>
    <w:basedOn w:val="DefaultParagraphFont"/>
    <w:uiPriority w:val="99"/>
    <w:unhideWhenUsed/>
    <w:rsid w:val="00720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realestateservices.ucdavis.edu/leas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Zaragoza</dc:creator>
  <cp:keywords/>
  <dc:description/>
  <cp:lastModifiedBy>Courtney M Finn</cp:lastModifiedBy>
  <cp:revision>30</cp:revision>
  <dcterms:created xsi:type="dcterms:W3CDTF">2018-12-03T19:21:00Z</dcterms:created>
  <dcterms:modified xsi:type="dcterms:W3CDTF">2018-12-16T19:40:00Z</dcterms:modified>
</cp:coreProperties>
</file>